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 xml:space="preserve">  </w:t>
      </w:r>
    </w:p>
    <w:p>
      <w:pPr>
        <w:spacing w:beforeLines="0" w:afterLines="0" w:line="52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职位表</w:t>
      </w:r>
    </w:p>
    <w:tbl>
      <w:tblPr>
        <w:tblStyle w:val="3"/>
        <w:tblW w:w="14871" w:type="dxa"/>
        <w:tblInd w:w="-4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675"/>
        <w:gridCol w:w="705"/>
        <w:gridCol w:w="705"/>
        <w:gridCol w:w="2295"/>
        <w:gridCol w:w="735"/>
        <w:gridCol w:w="555"/>
        <w:gridCol w:w="675"/>
        <w:gridCol w:w="795"/>
        <w:gridCol w:w="900"/>
        <w:gridCol w:w="1440"/>
        <w:gridCol w:w="1515"/>
        <w:gridCol w:w="705"/>
        <w:gridCol w:w="855"/>
        <w:gridCol w:w="840"/>
        <w:gridCol w:w="8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color w:val="000000"/>
                <w:sz w:val="21"/>
              </w:rPr>
            </w:pPr>
            <w:r>
              <w:rPr>
                <w:rFonts w:hint="eastAsia" w:ascii="黑体" w:hAnsi="黑体" w:eastAsia="黑体"/>
                <w:color w:val="000000"/>
                <w:sz w:val="21"/>
              </w:rPr>
              <w:t>招聘单位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color w:val="000000"/>
                <w:sz w:val="21"/>
              </w:rPr>
            </w:pPr>
            <w:r>
              <w:rPr>
                <w:rFonts w:hint="eastAsia" w:ascii="黑体" w:hAnsi="黑体" w:eastAsia="黑体"/>
                <w:color w:val="000000"/>
                <w:sz w:val="21"/>
              </w:rPr>
              <w:t>岗位名称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color w:val="000000"/>
                <w:sz w:val="21"/>
              </w:rPr>
            </w:pPr>
            <w:r>
              <w:rPr>
                <w:rFonts w:hint="eastAsia" w:ascii="黑体" w:hAnsi="黑体" w:eastAsia="黑体"/>
                <w:color w:val="000000"/>
                <w:sz w:val="21"/>
              </w:rPr>
              <w:t>岗位类别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color w:val="000000"/>
                <w:sz w:val="21"/>
              </w:rPr>
            </w:pPr>
            <w:r>
              <w:rPr>
                <w:rFonts w:hint="eastAsia" w:ascii="黑体" w:hAnsi="黑体" w:eastAsia="黑体"/>
                <w:color w:val="000000"/>
                <w:sz w:val="21"/>
              </w:rPr>
              <w:t>岗位等级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color w:val="000000"/>
                <w:sz w:val="21"/>
              </w:rPr>
            </w:pPr>
            <w:r>
              <w:rPr>
                <w:rFonts w:hint="eastAsia" w:ascii="黑体" w:hAnsi="黑体" w:eastAsia="黑体"/>
                <w:color w:val="000000"/>
                <w:sz w:val="21"/>
              </w:rPr>
              <w:t>岗位描述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color w:val="000000"/>
                <w:sz w:val="21"/>
              </w:rPr>
            </w:pPr>
            <w:r>
              <w:rPr>
                <w:rFonts w:hint="eastAsia" w:ascii="黑体" w:hAnsi="黑体" w:eastAsia="黑体"/>
                <w:color w:val="000000"/>
                <w:sz w:val="21"/>
              </w:rPr>
              <w:t>招聘对象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color w:val="000000"/>
                <w:sz w:val="21"/>
              </w:rPr>
            </w:pPr>
            <w:r>
              <w:rPr>
                <w:rFonts w:hint="eastAsia" w:ascii="黑体" w:hAnsi="黑体" w:eastAsia="黑体"/>
                <w:color w:val="000000"/>
                <w:sz w:val="21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color w:val="000000"/>
                <w:sz w:val="21"/>
              </w:rPr>
            </w:pPr>
            <w:r>
              <w:rPr>
                <w:rFonts w:hint="eastAsia" w:ascii="黑体" w:hAnsi="黑体" w:eastAsia="黑体"/>
                <w:color w:val="000000"/>
                <w:sz w:val="21"/>
              </w:rPr>
              <w:t>人数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color w:val="000000"/>
                <w:sz w:val="21"/>
              </w:rPr>
            </w:pPr>
            <w:r>
              <w:rPr>
                <w:rFonts w:hint="eastAsia" w:ascii="黑体" w:hAnsi="黑体" w:eastAsia="黑体"/>
                <w:color w:val="000000"/>
                <w:sz w:val="21"/>
              </w:rPr>
              <w:t>政治面貌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color w:val="000000"/>
                <w:sz w:val="21"/>
              </w:rPr>
            </w:pPr>
            <w:r>
              <w:rPr>
                <w:rFonts w:hint="eastAsia" w:ascii="黑体" w:hAnsi="黑体" w:eastAsia="黑体"/>
                <w:color w:val="000000"/>
                <w:sz w:val="21"/>
              </w:rPr>
              <w:t>学历要求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color w:val="000000"/>
                <w:sz w:val="21"/>
              </w:rPr>
            </w:pPr>
            <w:r>
              <w:rPr>
                <w:rFonts w:hint="eastAsia" w:ascii="黑体" w:hAnsi="黑体" w:eastAsia="黑体"/>
                <w:color w:val="000000"/>
                <w:sz w:val="21"/>
              </w:rPr>
              <w:t>学位要求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color w:val="000000"/>
                <w:sz w:val="21"/>
              </w:rPr>
            </w:pPr>
            <w:r>
              <w:rPr>
                <w:rFonts w:hint="eastAsia" w:ascii="黑体" w:hAnsi="黑体" w:eastAsia="黑体"/>
                <w:color w:val="000000"/>
                <w:sz w:val="21"/>
              </w:rPr>
              <w:t>专业要求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color w:val="000000"/>
                <w:sz w:val="21"/>
              </w:rPr>
            </w:pPr>
            <w:r>
              <w:rPr>
                <w:rFonts w:hint="eastAsia" w:ascii="黑体" w:hAnsi="黑体" w:eastAsia="黑体"/>
                <w:color w:val="000000"/>
                <w:sz w:val="21"/>
              </w:rPr>
              <w:t>_本科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color w:val="000000"/>
                <w:sz w:val="21"/>
              </w:rPr>
            </w:pPr>
            <w:r>
              <w:rPr>
                <w:rFonts w:hint="eastAsia" w:ascii="黑体" w:hAnsi="黑体" w:eastAsia="黑体"/>
                <w:color w:val="000000"/>
                <w:sz w:val="21"/>
              </w:rPr>
              <w:t>专业要求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color w:val="000000"/>
                <w:sz w:val="21"/>
              </w:rPr>
            </w:pPr>
            <w:r>
              <w:rPr>
                <w:rFonts w:hint="eastAsia" w:ascii="黑体" w:hAnsi="黑体" w:eastAsia="黑体"/>
                <w:color w:val="000000"/>
                <w:sz w:val="21"/>
              </w:rPr>
              <w:t>_研究生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color w:val="000000"/>
                <w:sz w:val="21"/>
              </w:rPr>
            </w:pPr>
            <w:r>
              <w:rPr>
                <w:rFonts w:hint="eastAsia" w:ascii="黑体" w:hAnsi="黑体" w:eastAsia="黑体"/>
                <w:color w:val="000000"/>
                <w:sz w:val="21"/>
              </w:rPr>
              <w:t>专业技术职称要求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color w:val="000000"/>
                <w:sz w:val="21"/>
              </w:rPr>
            </w:pPr>
            <w:r>
              <w:rPr>
                <w:rFonts w:hint="eastAsia" w:ascii="黑体" w:hAnsi="黑体" w:eastAsia="黑体"/>
                <w:color w:val="000000"/>
                <w:sz w:val="21"/>
              </w:rPr>
              <w:t>年龄要求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color w:val="000000"/>
                <w:sz w:val="21"/>
              </w:rPr>
            </w:pPr>
            <w:r>
              <w:rPr>
                <w:rFonts w:hint="eastAsia" w:ascii="黑体" w:hAnsi="黑体" w:eastAsia="黑体"/>
                <w:color w:val="000000"/>
                <w:sz w:val="21"/>
              </w:rPr>
              <w:t>其他要求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color w:val="000000"/>
                <w:sz w:val="21"/>
              </w:rPr>
            </w:pPr>
            <w:r>
              <w:rPr>
                <w:rFonts w:hint="eastAsia" w:ascii="黑体" w:hAnsi="黑体" w:eastAsia="黑体"/>
                <w:color w:val="000000"/>
                <w:sz w:val="21"/>
              </w:rPr>
              <w:t>薪酬待遇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1" w:hRule="atLeast"/>
        </w:trPr>
        <w:tc>
          <w:tcPr>
            <w:tcW w:w="6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</w:rPr>
              <w:t>南海区老干部大学（南海区老干部活动中心）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</w:rPr>
              <w:t>综合协调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</w:rPr>
              <w:t>管理岗位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</w:rPr>
              <w:t>九级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</w:rPr>
              <w:t>负责区老干部活动中心网络、系统及计算机维护维修，兼办公室文书写作和区老干部大学教学工作。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</w:rPr>
              <w:t>不限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</w:rPr>
              <w:t>1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highlight w:val="none"/>
              </w:rPr>
              <w:t>中共党员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highlight w:val="none"/>
              </w:rPr>
              <w:t>全日制本科</w:t>
            </w:r>
            <w:r>
              <w:rPr>
                <w:rFonts w:hint="eastAsia" w:ascii="宋体" w:hAnsi="宋体" w:eastAsia="宋体" w:cs="宋体"/>
                <w:color w:val="000000"/>
                <w:sz w:val="21"/>
                <w:highlight w:val="none"/>
                <w:lang w:eastAsia="zh-CN"/>
              </w:rPr>
              <w:t>及</w:t>
            </w:r>
            <w:r>
              <w:rPr>
                <w:rFonts w:hint="eastAsia" w:ascii="宋体" w:hAnsi="宋体" w:eastAsia="宋体" w:cs="宋体"/>
                <w:color w:val="000000"/>
                <w:sz w:val="21"/>
                <w:highlight w:val="none"/>
              </w:rPr>
              <w:t>以上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highlight w:val="none"/>
              </w:rPr>
              <w:t>学士或以上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highlight w:val="none"/>
              </w:rPr>
              <w:t>计算机类（B0809）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highlight w:val="none"/>
              </w:rPr>
              <w:t>计算机科学与技术（A0812）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highlight w:val="none"/>
              </w:rPr>
              <w:t>无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highlight w:val="none"/>
              </w:rPr>
              <w:t>30周岁及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highlight w:val="none"/>
              </w:rPr>
              <w:t>以下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</w:rPr>
              <w:t>无</w:t>
            </w:r>
          </w:p>
        </w:tc>
        <w:tc>
          <w:tcPr>
            <w:tcW w:w="81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</w:rPr>
              <w:t>工资待遇按国家事业单位有关政策规定执行。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6" w:hRule="atLeast"/>
        </w:trPr>
        <w:tc>
          <w:tcPr>
            <w:tcW w:w="660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1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</w:rPr>
              <w:t>建筑工程管理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</w:rPr>
              <w:t>管理岗位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</w:rPr>
              <w:t>九级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1"/>
                <w:highlight w:val="yellow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highlight w:val="none"/>
              </w:rPr>
              <w:t>负责区老干部活动中心建筑工程管理，兼行政管理和综合协调，需要外出和应急处置。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</w:rPr>
              <w:t>不限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</w:rPr>
              <w:t>1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highlight w:val="none"/>
              </w:rPr>
              <w:t>不限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highlight w:val="none"/>
              </w:rPr>
              <w:t>全日制本科及以上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highlight w:val="none"/>
              </w:rPr>
              <w:t>学士或以上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highlight w:val="none"/>
              </w:rPr>
              <w:t>土木类（B0811）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highlight w:val="none"/>
              </w:rPr>
              <w:t>土木工程（A0814）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highlight w:val="none"/>
              </w:rPr>
              <w:t>无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highlight w:val="none"/>
              </w:rPr>
              <w:t>30周岁及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highlight w:val="none"/>
              </w:rPr>
              <w:t>以下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</w:rPr>
              <w:t>无</w:t>
            </w:r>
          </w:p>
        </w:tc>
        <w:tc>
          <w:tcPr>
            <w:tcW w:w="816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0" w:hRule="atLeast"/>
        </w:trPr>
        <w:tc>
          <w:tcPr>
            <w:tcW w:w="660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</w:rPr>
              <w:t>南海区人才研究所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人才信息管理员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管理岗位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九级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1.负责区域人才工作信息化建设及人才大数据应用开发；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2.对相关领域的政策及工作动态进行持续跟踪；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3.参与区域课题项目、调查研究、人才管理、人才交流活动；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4.配合完成其他相关工作。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社会人员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中共党员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全日制本科及以上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学士学位及以上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计算机类（B0809）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计算机科学与技术（A0812）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无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30周岁及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以下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3年以上工作经历</w:t>
            </w:r>
          </w:p>
        </w:tc>
        <w:tc>
          <w:tcPr>
            <w:tcW w:w="816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工资待遇按国家事业单位有关政策规定执行。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60" w:type="dxa"/>
            <w:vMerge w:val="restart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/>
                <w:color w:val="000000"/>
                <w:sz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</w:rPr>
              <w:t>南海区人才研究所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黑体" w:hAnsi="黑体" w:eastAsia="黑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人才研究员</w:t>
            </w:r>
            <w:r>
              <w:rPr>
                <w:rFonts w:hint="eastAsia" w:ascii="宋体" w:hAnsi="宋体" w:eastAsia="宋体"/>
                <w:b/>
                <w:bCs/>
                <w:color w:val="auto"/>
                <w:sz w:val="21"/>
                <w:szCs w:val="21"/>
                <w:lang w:val="en-US" w:eastAsia="zh-CN"/>
              </w:rPr>
              <w:t>A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管理岗位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九级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  <w:t>1.负责开展区域性人才、科技、产业发展前瞻性课题调研</w:t>
            </w: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  <w:t>研究工作；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  <w:t>2.</w:t>
            </w: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  <w:lang w:eastAsia="zh-CN"/>
              </w:rPr>
              <w:t>开展</w:t>
            </w: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  <w:t>人才政策研讨</w:t>
            </w: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  <w:t>起草、制定、落实；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  <w:t>3.组织筹划并开展人才交流</w:t>
            </w: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  <w:lang w:eastAsia="zh-CN"/>
              </w:rPr>
              <w:t>等</w:t>
            </w: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  <w:t>活动；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  <w:lang w:val="en-US" w:eastAsia="zh-CN"/>
              </w:rPr>
              <w:t>4.</w:t>
            </w: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  <w:t>配合完成其他相关工作。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不限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1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  <w:t>不限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  <w:t>全日制研究生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  <w:t>及以上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  <w:t>硕士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  <w:t>及以上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  <w:t>无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highlight w:val="none"/>
              </w:rPr>
              <w:t>应用经济学类（A0202）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  <w:t>无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  <w:t>30周岁及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  <w:t>以下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无</w:t>
            </w:r>
          </w:p>
        </w:tc>
        <w:tc>
          <w:tcPr>
            <w:tcW w:w="816" w:type="dxa"/>
            <w:vMerge w:val="restart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工资待遇按国家事业单位有关政策规定执行。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</w:trPr>
        <w:tc>
          <w:tcPr>
            <w:tcW w:w="6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/>
                <w:color w:val="000000"/>
                <w:sz w:val="21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/>
                <w:color w:val="FF000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黑体" w:hAnsi="黑体" w:eastAsia="黑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人才研究员</w:t>
            </w:r>
            <w:r>
              <w:rPr>
                <w:rFonts w:hint="eastAsia" w:ascii="宋体" w:hAnsi="宋体" w:eastAsia="宋体"/>
                <w:b/>
                <w:bCs/>
                <w:color w:val="auto"/>
                <w:sz w:val="21"/>
                <w:szCs w:val="21"/>
                <w:lang w:val="en-US" w:eastAsia="zh-CN"/>
              </w:rPr>
              <w:t>B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管理岗位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九级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  <w:lang w:val="en-US" w:eastAsia="zh-CN"/>
              </w:rPr>
              <w:t>1.负责人才发展环境、人才引进培育、人才服务等方面课题调研、研究工作；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  <w:lang w:val="en-US" w:eastAsia="zh-CN"/>
              </w:rPr>
              <w:t>2.</w:t>
            </w: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  <w:t>负责相关政府建言献策报告或材料撰写工作</w:t>
            </w: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  <w:t>3.</w:t>
            </w: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  <w:lang w:eastAsia="zh-CN"/>
              </w:rPr>
              <w:t>组织</w:t>
            </w: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  <w:t>筹划并开展人才</w:t>
            </w: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  <w:lang w:eastAsia="zh-CN"/>
              </w:rPr>
              <w:t>服务等</w:t>
            </w: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  <w:t>活动；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  <w:t>4.配合完成其他相关工作。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不限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1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  <w:t>不限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  <w:t>全日制研究生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  <w:t>及以上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  <w:t>硕士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  <w:t>及以上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  <w:t>无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highlight w:val="none"/>
              </w:rPr>
              <w:t>管理学类（A12）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  <w:t>无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  <w:t>30周岁及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  <w:t>以下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无</w:t>
            </w:r>
          </w:p>
        </w:tc>
        <w:tc>
          <w:tcPr>
            <w:tcW w:w="8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</w:tr>
    </w:tbl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before="0" w:beforeLines="0" w:after="0" w:afterLines="0" w:line="240" w:lineRule="auto"/>
        <w:ind w:left="0" w:leftChars="0"/>
        <w:textAlignment w:val="auto"/>
        <w:rPr>
          <w:rFonts w:hint="eastAsia" w:ascii="宋体" w:hAnsi="宋体" w:eastAsia="宋体"/>
          <w:color w:val="000000"/>
          <w:sz w:val="21"/>
          <w:szCs w:val="32"/>
        </w:rPr>
      </w:pPr>
    </w:p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before="0" w:beforeLines="0" w:after="0" w:afterLines="0" w:line="240" w:lineRule="auto"/>
        <w:ind w:left="0" w:leftChars="0"/>
        <w:textAlignment w:val="auto"/>
        <w:rPr>
          <w:rFonts w:hint="eastAsia" w:ascii="仿宋_GB2312" w:eastAsia="仿宋_GB2312"/>
          <w:color w:val="000000"/>
          <w:sz w:val="32"/>
          <w:szCs w:val="32"/>
        </w:rPr>
        <w:sectPr>
          <w:pgSz w:w="16838" w:h="11906" w:orient="landscape"/>
          <w:pgMar w:top="794" w:right="1134" w:bottom="794" w:left="1402" w:header="851" w:footer="992" w:gutter="0"/>
          <w:pgNumType w:fmt="numberInDash"/>
          <w:cols w:space="720" w:num="1"/>
          <w:rtlGutter w:val="0"/>
          <w:docGrid w:type="lines" w:linePitch="321" w:charSpace="0"/>
        </w:sectPr>
      </w:pPr>
      <w:r>
        <w:rPr>
          <w:rFonts w:hint="eastAsia" w:ascii="宋体" w:hAnsi="宋体" w:eastAsia="宋体"/>
          <w:color w:val="000000"/>
          <w:sz w:val="21"/>
          <w:szCs w:val="32"/>
        </w:rPr>
        <w:t>说</w:t>
      </w:r>
      <w:r>
        <w:rPr>
          <w:rFonts w:hint="eastAsia" w:ascii="宋体" w:hAnsi="宋体" w:eastAsia="宋体"/>
          <w:color w:val="000000"/>
          <w:sz w:val="21"/>
          <w:szCs w:val="32"/>
          <w:highlight w:val="none"/>
        </w:rPr>
        <w:t>明：①年龄计算时间为</w:t>
      </w:r>
      <w:r>
        <w:rPr>
          <w:rFonts w:hint="eastAsia" w:ascii="宋体" w:hAnsi="宋体" w:eastAsia="宋体"/>
          <w:color w:val="000000"/>
          <w:sz w:val="21"/>
          <w:szCs w:val="32"/>
          <w:highlight w:val="none"/>
          <w:lang w:val="en-US" w:eastAsia="zh-CN"/>
        </w:rPr>
        <w:t>1988</w:t>
      </w:r>
      <w:r>
        <w:rPr>
          <w:rFonts w:hint="eastAsia" w:ascii="宋体" w:hAnsi="宋体" w:eastAsia="宋体"/>
          <w:color w:val="000000"/>
          <w:sz w:val="21"/>
          <w:szCs w:val="32"/>
          <w:highlight w:val="none"/>
        </w:rPr>
        <w:t>年</w:t>
      </w:r>
      <w:r>
        <w:rPr>
          <w:rFonts w:hint="eastAsia" w:ascii="宋体" w:hAnsi="宋体" w:eastAsia="宋体"/>
          <w:color w:val="000000"/>
          <w:sz w:val="21"/>
          <w:szCs w:val="32"/>
          <w:highlight w:val="none"/>
          <w:lang w:val="en-US" w:eastAsia="zh-CN"/>
        </w:rPr>
        <w:t>10</w:t>
      </w:r>
      <w:r>
        <w:rPr>
          <w:rFonts w:hint="eastAsia" w:ascii="宋体" w:hAnsi="宋体" w:eastAsia="宋体"/>
          <w:color w:val="000000"/>
          <w:sz w:val="21"/>
          <w:szCs w:val="32"/>
          <w:highlight w:val="none"/>
        </w:rPr>
        <w:t>月</w:t>
      </w:r>
      <w:r>
        <w:rPr>
          <w:rFonts w:hint="eastAsia" w:ascii="宋体" w:hAnsi="宋体" w:eastAsia="宋体"/>
          <w:color w:val="000000"/>
          <w:sz w:val="21"/>
          <w:szCs w:val="32"/>
          <w:highlight w:val="none"/>
          <w:lang w:val="en-US" w:eastAsia="zh-CN"/>
        </w:rPr>
        <w:t>23</w:t>
      </w:r>
      <w:r>
        <w:rPr>
          <w:rFonts w:hint="eastAsia" w:ascii="宋体" w:hAnsi="宋体" w:eastAsia="宋体"/>
          <w:color w:val="000000"/>
          <w:sz w:val="21"/>
          <w:szCs w:val="32"/>
          <w:highlight w:val="none"/>
          <w:lang w:eastAsia="zh-CN"/>
        </w:rPr>
        <w:t>日</w:t>
      </w:r>
      <w:r>
        <w:rPr>
          <w:rFonts w:hint="eastAsia" w:ascii="宋体" w:hAnsi="宋体" w:eastAsia="宋体"/>
          <w:color w:val="000000"/>
          <w:sz w:val="21"/>
          <w:szCs w:val="32"/>
          <w:highlight w:val="none"/>
        </w:rPr>
        <w:t>后出生；②</w:t>
      </w:r>
      <w:r>
        <w:rPr>
          <w:rFonts w:hint="eastAsia" w:ascii="宋体" w:hAnsi="宋体" w:eastAsia="宋体"/>
          <w:color w:val="000000"/>
          <w:sz w:val="21"/>
          <w:szCs w:val="32"/>
          <w:highlight w:val="none"/>
          <w:lang w:eastAsia="zh-CN"/>
        </w:rPr>
        <w:t>工作年限计算截止时间为</w:t>
      </w:r>
      <w:r>
        <w:rPr>
          <w:rFonts w:hint="eastAsia" w:ascii="宋体" w:hAnsi="宋体" w:eastAsia="宋体"/>
          <w:color w:val="000000"/>
          <w:sz w:val="21"/>
          <w:szCs w:val="32"/>
          <w:highlight w:val="none"/>
          <w:lang w:val="en-US" w:eastAsia="zh-CN"/>
        </w:rPr>
        <w:t>2019年10月23</w:t>
      </w:r>
      <w:r>
        <w:rPr>
          <w:rFonts w:hint="eastAsia" w:ascii="宋体" w:hAnsi="宋体" w:eastAsia="宋体"/>
          <w:color w:val="000000"/>
          <w:sz w:val="21"/>
          <w:szCs w:val="32"/>
          <w:highlight w:val="none"/>
          <w:lang w:eastAsia="zh-CN"/>
        </w:rPr>
        <w:t>日；</w:t>
      </w:r>
      <w:r>
        <w:rPr>
          <w:rFonts w:hint="eastAsia" w:ascii="宋体" w:hAnsi="宋体" w:eastAsia="宋体"/>
          <w:color w:val="000000"/>
          <w:sz w:val="21"/>
          <w:szCs w:val="32"/>
          <w:highlight w:val="none"/>
        </w:rPr>
        <w:t>③学历学位须国家承认，国（境）外学历须提供学历认证；④学科、专业代码及名称参照广东省考试录用公务员专业目录（</w:t>
      </w:r>
      <w:r>
        <w:rPr>
          <w:rFonts w:hint="eastAsia" w:ascii="宋体" w:hAnsi="宋体" w:eastAsia="宋体"/>
          <w:color w:val="000000"/>
          <w:sz w:val="21"/>
          <w:szCs w:val="32"/>
          <w:highlight w:val="none"/>
          <w:lang w:val="en-US" w:eastAsia="zh-CN"/>
        </w:rPr>
        <w:t>2019年</w:t>
      </w:r>
      <w:r>
        <w:rPr>
          <w:rFonts w:hint="eastAsia" w:ascii="宋体" w:hAnsi="宋体" w:eastAsia="宋体"/>
          <w:color w:val="000000"/>
          <w:sz w:val="21"/>
          <w:szCs w:val="32"/>
          <w:highlight w:val="none"/>
        </w:rPr>
        <w:t>版）。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CF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正文 New New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2019-10-10T01:18:51Z</dcterms:created>
  <dc:creator>Administrator</dc:creator>
  <cp:lastModifiedBy>罗曼</cp:lastModifiedBy>
  <dcterms:modified xsi:type="dcterms:W3CDTF">2019-10-10T01:20:02Z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